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C" w:rsidRPr="004330D1" w:rsidRDefault="00371662" w:rsidP="00876E2D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B6519C" w:rsidRDefault="00371662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</w:t>
      </w:r>
      <w:r w:rsidR="00406FD8">
        <w:rPr>
          <w:i/>
          <w:color w:val="FF0000"/>
          <w:szCs w:val="24"/>
        </w:rPr>
        <w:t xml:space="preserve"> das renegociações a ser</w:t>
      </w:r>
      <w:r w:rsidR="00224412">
        <w:rPr>
          <w:i/>
          <w:color w:val="FF0000"/>
          <w:szCs w:val="24"/>
        </w:rPr>
        <w:t>em realizadas ao amparo do artigo 13</w:t>
      </w:r>
      <w:r w:rsidR="00406FD8">
        <w:rPr>
          <w:i/>
          <w:color w:val="FF0000"/>
          <w:szCs w:val="24"/>
        </w:rPr>
        <w:t xml:space="preserve"> da Lei Complementar nº 156, de </w:t>
      </w:r>
      <w:r w:rsidR="00224412">
        <w:rPr>
          <w:i/>
          <w:color w:val="FF0000"/>
          <w:szCs w:val="24"/>
        </w:rPr>
        <w:t xml:space="preserve">28 de dezembro de </w:t>
      </w:r>
      <w:r w:rsidR="00406FD8">
        <w:rPr>
          <w:i/>
          <w:color w:val="FF0000"/>
          <w:szCs w:val="24"/>
        </w:rPr>
        <w:t>2016</w:t>
      </w:r>
      <w:r w:rsidR="00560105">
        <w:rPr>
          <w:i/>
          <w:color w:val="FF0000"/>
          <w:szCs w:val="24"/>
        </w:rPr>
        <w:t>,</w:t>
      </w:r>
      <w:r w:rsidR="00406FD8">
        <w:rPr>
          <w:i/>
          <w:color w:val="FF0000"/>
          <w:szCs w:val="24"/>
        </w:rPr>
        <w:t xml:space="preserve"> </w:t>
      </w:r>
      <w:r w:rsidR="00D176C6" w:rsidRPr="003A601C">
        <w:rPr>
          <w:i/>
          <w:color w:val="FF0000"/>
          <w:szCs w:val="24"/>
        </w:rPr>
        <w:t>cuja previsão encontra-se no art</w:t>
      </w:r>
      <w:r w:rsidR="00224412">
        <w:rPr>
          <w:i/>
          <w:color w:val="FF0000"/>
          <w:szCs w:val="24"/>
        </w:rPr>
        <w:t>igo</w:t>
      </w:r>
      <w:r w:rsidR="00D176C6" w:rsidRPr="003A601C">
        <w:rPr>
          <w:i/>
          <w:color w:val="FF0000"/>
          <w:szCs w:val="24"/>
        </w:rPr>
        <w:t xml:space="preserve"> 32, § 1º, inc</w:t>
      </w:r>
      <w:r w:rsidR="00224412">
        <w:rPr>
          <w:i/>
          <w:color w:val="FF0000"/>
          <w:szCs w:val="24"/>
        </w:rPr>
        <w:t>iso</w:t>
      </w:r>
      <w:r w:rsidR="00D176C6" w:rsidRPr="003A601C">
        <w:rPr>
          <w:i/>
          <w:color w:val="FF0000"/>
          <w:szCs w:val="24"/>
        </w:rPr>
        <w:t xml:space="preserve"> I da Lei Complementar 101</w:t>
      </w:r>
      <w:r w:rsidR="00224412">
        <w:rPr>
          <w:i/>
          <w:color w:val="FF0000"/>
          <w:szCs w:val="24"/>
        </w:rPr>
        <w:t xml:space="preserve">, de 04 de maio de </w:t>
      </w:r>
      <w:r w:rsidR="00D176C6" w:rsidRPr="003A601C">
        <w:rPr>
          <w:i/>
          <w:color w:val="FF0000"/>
          <w:szCs w:val="24"/>
        </w:rPr>
        <w:t xml:space="preserve">2000, </w:t>
      </w:r>
      <w:r w:rsidR="00406FD8">
        <w:rPr>
          <w:i/>
          <w:color w:val="FF0000"/>
          <w:szCs w:val="24"/>
        </w:rPr>
        <w:t xml:space="preserve">conforme manifestação da Procuradoria-Geral da Fazenda Nacional </w:t>
      </w:r>
      <w:r w:rsidR="004C2985">
        <w:rPr>
          <w:i/>
          <w:color w:val="FF0000"/>
          <w:szCs w:val="24"/>
        </w:rPr>
        <w:t xml:space="preserve">– </w:t>
      </w:r>
      <w:r w:rsidR="00406FD8">
        <w:rPr>
          <w:i/>
          <w:color w:val="FF0000"/>
          <w:szCs w:val="24"/>
        </w:rPr>
        <w:t>PGFN, por meio do</w:t>
      </w:r>
      <w:r w:rsidR="00224412">
        <w:rPr>
          <w:i/>
          <w:color w:val="FF0000"/>
          <w:szCs w:val="24"/>
        </w:rPr>
        <w:t>s</w:t>
      </w:r>
      <w:r w:rsidR="00406FD8">
        <w:rPr>
          <w:i/>
          <w:color w:val="FF0000"/>
          <w:szCs w:val="24"/>
        </w:rPr>
        <w:t xml:space="preserve"> Parecer</w:t>
      </w:r>
      <w:r w:rsidR="00224412">
        <w:rPr>
          <w:i/>
          <w:color w:val="FF0000"/>
          <w:szCs w:val="24"/>
        </w:rPr>
        <w:t>es</w:t>
      </w:r>
      <w:r w:rsidR="00406FD8">
        <w:rPr>
          <w:i/>
          <w:color w:val="FF0000"/>
          <w:szCs w:val="24"/>
        </w:rPr>
        <w:t xml:space="preserve"> PGFN/CAF/Nº 584/2017</w:t>
      </w:r>
      <w:r w:rsidR="00224412">
        <w:rPr>
          <w:i/>
          <w:color w:val="FF0000"/>
          <w:szCs w:val="24"/>
        </w:rPr>
        <w:t xml:space="preserve"> e nº </w:t>
      </w:r>
      <w:r w:rsidR="004C2985">
        <w:rPr>
          <w:i/>
          <w:color w:val="FF0000"/>
          <w:szCs w:val="24"/>
        </w:rPr>
        <w:t>594</w:t>
      </w:r>
      <w:r w:rsidR="00224412">
        <w:rPr>
          <w:i/>
          <w:color w:val="FF0000"/>
          <w:szCs w:val="24"/>
        </w:rPr>
        <w:t>/2017</w:t>
      </w:r>
      <w:r w:rsidRPr="003A601C">
        <w:rPr>
          <w:i/>
          <w:color w:val="FF0000"/>
          <w:szCs w:val="24"/>
        </w:rPr>
        <w:t>.</w:t>
      </w:r>
    </w:p>
    <w:p w:rsidR="00406FD8" w:rsidRDefault="00406FD8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B6519C" w:rsidRPr="003A601C" w:rsidRDefault="00B6519C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Deverá ser </w:t>
      </w:r>
      <w:r w:rsidR="00406FD8">
        <w:rPr>
          <w:i/>
          <w:color w:val="FF0000"/>
          <w:szCs w:val="24"/>
        </w:rPr>
        <w:t>enviado a esta Secretaria:</w:t>
      </w:r>
    </w:p>
    <w:p w:rsidR="00371662" w:rsidRPr="002C2D98" w:rsidRDefault="00371662" w:rsidP="00876E2D">
      <w:pPr>
        <w:ind w:right="-1"/>
        <w:rPr>
          <w:i/>
          <w:color w:val="FF0000"/>
          <w:szCs w:val="24"/>
        </w:rPr>
      </w:pPr>
    </w:p>
    <w:p w:rsidR="00583612" w:rsidRDefault="00583612" w:rsidP="00583612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e</w:t>
      </w:r>
      <w:r w:rsidRPr="002C2D98">
        <w:rPr>
          <w:i/>
          <w:color w:val="FF0000"/>
        </w:rPr>
        <w:t>xemplar</w:t>
      </w:r>
      <w:proofErr w:type="gramEnd"/>
      <w:r w:rsidRPr="002C2D98">
        <w:rPr>
          <w:i/>
          <w:color w:val="FF0000"/>
        </w:rPr>
        <w:t xml:space="preserve"> de sua publicação na imprensa;</w:t>
      </w:r>
      <w:r>
        <w:rPr>
          <w:i/>
          <w:color w:val="FF0000"/>
        </w:rPr>
        <w:t xml:space="preserve"> ou</w:t>
      </w:r>
    </w:p>
    <w:p w:rsidR="00583612" w:rsidRPr="002C2D98" w:rsidRDefault="00583612" w:rsidP="00583612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cópia</w:t>
      </w:r>
      <w:proofErr w:type="gramEnd"/>
      <w:r>
        <w:rPr>
          <w:i/>
          <w:color w:val="FF0000"/>
        </w:rPr>
        <w:t xml:space="preserve"> de e</w:t>
      </w:r>
      <w:r w:rsidRPr="002C2D98">
        <w:rPr>
          <w:i/>
          <w:color w:val="FF0000"/>
        </w:rPr>
        <w:t>xemplar de sua publicação na imprensa</w:t>
      </w:r>
      <w:r>
        <w:rPr>
          <w:i/>
          <w:color w:val="FF0000"/>
        </w:rPr>
        <w:t>; ou</w:t>
      </w:r>
    </w:p>
    <w:p w:rsidR="00583612" w:rsidRPr="002C2D98" w:rsidRDefault="00583612" w:rsidP="00583612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o</w:t>
      </w:r>
      <w:r w:rsidRPr="002C2D98">
        <w:rPr>
          <w:i/>
          <w:color w:val="FF0000"/>
        </w:rPr>
        <w:t>riginal</w:t>
      </w:r>
      <w:proofErr w:type="gramEnd"/>
      <w:r>
        <w:rPr>
          <w:i/>
          <w:color w:val="FF0000"/>
        </w:rPr>
        <w:t>, cópia autenticada ou cópia simples</w:t>
      </w:r>
      <w:r w:rsidRPr="002C2D98">
        <w:rPr>
          <w:i/>
          <w:color w:val="FF0000"/>
        </w:rPr>
        <w:t xml:space="preserve"> do documento assinado pelo Chefe do Poder Executivo; ou</w:t>
      </w:r>
    </w:p>
    <w:p w:rsidR="00583612" w:rsidRPr="002C2D98" w:rsidRDefault="00583612" w:rsidP="00583612">
      <w:pPr>
        <w:pStyle w:val="PargrafodaLista"/>
        <w:numPr>
          <w:ilvl w:val="0"/>
          <w:numId w:val="3"/>
        </w:numPr>
        <w:spacing w:after="267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d</w:t>
      </w:r>
      <w:r w:rsidRPr="002C2D98">
        <w:rPr>
          <w:i/>
          <w:color w:val="FF0000"/>
        </w:rPr>
        <w:t>ocumento</w:t>
      </w:r>
      <w:proofErr w:type="gramEnd"/>
      <w:r w:rsidRPr="002C2D98">
        <w:rPr>
          <w:i/>
          <w:color w:val="FF0000"/>
        </w:rPr>
        <w:t xml:space="preserve"> disponibilizado no sítio do interessado (ente da Federação) na internet.</w:t>
      </w:r>
    </w:p>
    <w:p w:rsidR="00904140" w:rsidRPr="002C2D98" w:rsidRDefault="00904140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5B584E" w:rsidRPr="003A601C" w:rsidRDefault="005B584E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D22860" w:rsidRDefault="00371662" w:rsidP="00876E2D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</w:t>
      </w:r>
    </w:p>
    <w:p w:rsidR="00D22860" w:rsidRDefault="00D22860" w:rsidP="00876E2D">
      <w:pPr>
        <w:ind w:right="-1"/>
        <w:rPr>
          <w:i/>
          <w:color w:val="FF0000"/>
          <w:szCs w:val="24"/>
        </w:rPr>
      </w:pPr>
    </w:p>
    <w:p w:rsidR="00940B98" w:rsidRDefault="00D22860" w:rsidP="00876E2D">
      <w:pPr>
        <w:ind w:right="-1"/>
      </w:pPr>
      <w:r w:rsidRPr="00C52C9A">
        <w:rPr>
          <w:b/>
          <w:i/>
          <w:color w:val="FF0000"/>
          <w:szCs w:val="24"/>
          <w:u w:val="single"/>
        </w:rPr>
        <w:t xml:space="preserve">Atentar para o fato de existirem dois modelos </w:t>
      </w:r>
      <w:r w:rsidR="00C52C9A" w:rsidRPr="00C52C9A">
        <w:rPr>
          <w:b/>
          <w:i/>
          <w:color w:val="FF0000"/>
          <w:szCs w:val="24"/>
          <w:u w:val="single"/>
        </w:rPr>
        <w:t xml:space="preserve">de lei </w:t>
      </w:r>
      <w:r w:rsidRPr="00C52C9A">
        <w:rPr>
          <w:b/>
          <w:i/>
          <w:color w:val="FF0000"/>
          <w:szCs w:val="24"/>
          <w:u w:val="single"/>
        </w:rPr>
        <w:t>distintos</w:t>
      </w:r>
      <w:r>
        <w:rPr>
          <w:i/>
          <w:color w:val="FF0000"/>
          <w:szCs w:val="24"/>
        </w:rPr>
        <w:t>, que devem ser selecionados conforme o caso: um que abrange a repactuação por parte da administração direta do ente, seus fundos, autarquias, fundações e empresas estatais dependentes, e outro que é aplicável às repactuações a serem efetuadas por empresas estatais não dependentes.</w:t>
      </w:r>
      <w:r w:rsidR="00940B98">
        <w:br w:type="page"/>
      </w:r>
    </w:p>
    <w:p w:rsidR="0083462C" w:rsidRDefault="004F54CA" w:rsidP="0083462C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  <w:r w:rsidRPr="004F54CA">
        <w:rPr>
          <w:b/>
          <w:i/>
          <w:color w:val="FF0000"/>
          <w:szCs w:val="24"/>
        </w:rPr>
        <w:lastRenderedPageBreak/>
        <w:t>MODELO I –</w:t>
      </w:r>
      <w:r>
        <w:rPr>
          <w:b/>
          <w:i/>
          <w:color w:val="FF0000"/>
          <w:szCs w:val="24"/>
        </w:rPr>
        <w:t xml:space="preserve"> REPACTU</w:t>
      </w:r>
      <w:r w:rsidRPr="004F54CA">
        <w:rPr>
          <w:b/>
          <w:i/>
          <w:color w:val="FF0000"/>
          <w:szCs w:val="24"/>
        </w:rPr>
        <w:t>AÇÃO REALIZADA PELA ADMINISTRAÇÃO DIRETA</w:t>
      </w:r>
      <w:r w:rsidR="0083462C">
        <w:rPr>
          <w:b/>
          <w:i/>
          <w:color w:val="FF0000"/>
          <w:szCs w:val="24"/>
        </w:rPr>
        <w:t xml:space="preserve"> DE ESTADOS, DISTRITO FEDERAL E MUNICÍPIOS E SEUS RESPECTIVOS FUNDOS, AUTARQUIAS, FUNDAÇÕES E EMPRESAS ESTATAIS </w:t>
      </w:r>
      <w:r w:rsidR="0083462C" w:rsidRPr="0083462C">
        <w:rPr>
          <w:b/>
          <w:i/>
          <w:color w:val="FF0000"/>
          <w:szCs w:val="24"/>
          <w:u w:val="single"/>
        </w:rPr>
        <w:t>DEPENDENTES</w:t>
      </w:r>
    </w:p>
    <w:p w:rsidR="007D75E4" w:rsidRPr="004F54CA" w:rsidRDefault="007D75E4" w:rsidP="004F54CA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</w:p>
    <w:p w:rsidR="004F54CA" w:rsidRDefault="004F54CA" w:rsidP="00876E2D">
      <w:pPr>
        <w:autoSpaceDE w:val="0"/>
        <w:autoSpaceDN w:val="0"/>
        <w:adjustRightInd w:val="0"/>
        <w:ind w:right="-1"/>
        <w:rPr>
          <w:szCs w:val="24"/>
        </w:rPr>
      </w:pPr>
    </w:p>
    <w:p w:rsidR="004F54CA" w:rsidRPr="007D75E4" w:rsidRDefault="004F54CA" w:rsidP="00876E2D">
      <w:pPr>
        <w:autoSpaceDE w:val="0"/>
        <w:autoSpaceDN w:val="0"/>
        <w:adjustRightInd w:val="0"/>
        <w:ind w:right="-1"/>
        <w:rPr>
          <w:szCs w:val="24"/>
        </w:rPr>
      </w:pPr>
    </w:p>
    <w:p w:rsidR="00DE126E" w:rsidRDefault="00DE126E" w:rsidP="00876E2D">
      <w:pPr>
        <w:ind w:right="-1"/>
        <w:jc w:val="center"/>
      </w:pPr>
      <w:r>
        <w:t xml:space="preserve">Lei n° </w:t>
      </w:r>
      <w:r w:rsidR="004027FF" w:rsidRPr="00EB1D46">
        <w:rPr>
          <w:color w:val="FF0000"/>
          <w:u w:val="dottedHeavy"/>
        </w:rPr>
        <w:t>XXX</w:t>
      </w:r>
      <w:r>
        <w:t xml:space="preserve">, de </w:t>
      </w:r>
      <w:r w:rsidR="004027FF">
        <w:rPr>
          <w:color w:val="FF0000"/>
          <w:u w:val="dottedHeavy"/>
        </w:rPr>
        <w:t>DD</w:t>
      </w:r>
      <w:r>
        <w:t xml:space="preserve"> de </w:t>
      </w:r>
      <w:r w:rsidR="004027FF"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="004027FF" w:rsidRPr="00EB1D46">
        <w:rPr>
          <w:color w:val="FF0000"/>
          <w:u w:val="dottedHeavy"/>
        </w:rPr>
        <w:t>XX</w:t>
      </w:r>
    </w:p>
    <w:p w:rsidR="00DE126E" w:rsidRDefault="00DE126E" w:rsidP="00876E2D">
      <w:pPr>
        <w:ind w:right="-1"/>
      </w:pPr>
    </w:p>
    <w:p w:rsidR="00DE126E" w:rsidRDefault="00DE126E" w:rsidP="00876E2D">
      <w:pPr>
        <w:ind w:left="4678" w:right="-1"/>
      </w:pPr>
      <w:r>
        <w:t xml:space="preserve">“Autoriza o </w:t>
      </w:r>
      <w:r w:rsidRPr="006258D7">
        <w:rPr>
          <w:color w:val="FF0000"/>
        </w:rPr>
        <w:t xml:space="preserve">Poder Executivo </w:t>
      </w:r>
      <w:r w:rsidR="006258D7" w:rsidRPr="006258D7">
        <w:rPr>
          <w:color w:val="FF0000"/>
        </w:rPr>
        <w:t xml:space="preserve">e entidades da administração indireta </w:t>
      </w:r>
      <w:r>
        <w:t xml:space="preserve">a </w:t>
      </w:r>
      <w:r w:rsidR="004F54CA">
        <w:t xml:space="preserve">repactuar dívidas decorrentes de financiamentos obtidos com recursos do FGTS, </w:t>
      </w:r>
      <w:r w:rsidR="009F0846">
        <w:t xml:space="preserve">bem como </w:t>
      </w:r>
      <w:r w:rsidR="00192B19">
        <w:t xml:space="preserve">a </w:t>
      </w:r>
      <w:r w:rsidR="009F0846">
        <w:t xml:space="preserve">vincular receitas </w:t>
      </w:r>
      <w:r w:rsidR="006C78DE">
        <w:t xml:space="preserve">e recursos </w:t>
      </w:r>
      <w:r w:rsidR="009F0846">
        <w:t xml:space="preserve">em </w:t>
      </w:r>
      <w:proofErr w:type="spellStart"/>
      <w:r w:rsidR="009F0846">
        <w:t>contragarantia</w:t>
      </w:r>
      <w:proofErr w:type="spellEnd"/>
      <w:r w:rsidR="009F0846">
        <w:t xml:space="preserve"> à garantia da União, </w:t>
      </w:r>
      <w:r w:rsidR="004F54CA">
        <w:t xml:space="preserve">nos termos </w:t>
      </w:r>
      <w:r w:rsidR="00406FD8">
        <w:t>d</w:t>
      </w:r>
      <w:r w:rsidR="00406FD8" w:rsidRPr="00420D1B">
        <w:t xml:space="preserve">o artigo </w:t>
      </w:r>
      <w:r w:rsidR="004F54CA">
        <w:t>13</w:t>
      </w:r>
      <w:r w:rsidR="00406FD8" w:rsidRPr="00420D1B">
        <w:t xml:space="preserve"> da Lei Complementar nº 156, de 28</w:t>
      </w:r>
      <w:r w:rsidR="006258D7">
        <w:t xml:space="preserve"> de dezembro de </w:t>
      </w:r>
      <w:proofErr w:type="gramStart"/>
      <w:r w:rsidR="00406FD8" w:rsidRPr="00420D1B">
        <w:t>2016</w:t>
      </w:r>
      <w:r>
        <w:t>.”</w:t>
      </w:r>
      <w:proofErr w:type="gramEnd"/>
    </w:p>
    <w:p w:rsidR="00DE126E" w:rsidRDefault="00DE126E" w:rsidP="00876E2D">
      <w:pPr>
        <w:ind w:right="-1" w:firstLine="708"/>
        <w:rPr>
          <w:color w:val="FF0000"/>
        </w:rPr>
      </w:pPr>
    </w:p>
    <w:p w:rsidR="00DE126E" w:rsidRDefault="00DE126E" w:rsidP="00876E2D">
      <w:pPr>
        <w:ind w:right="-1" w:firstLine="708"/>
        <w:rPr>
          <w:color w:val="000000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A Assembl</w:t>
      </w:r>
      <w:r w:rsidR="00D43F08">
        <w:rPr>
          <w:color w:val="000000"/>
        </w:rPr>
        <w:t>e</w:t>
      </w:r>
      <w:r>
        <w:rPr>
          <w:color w:val="000000"/>
        </w:rPr>
        <w:t xml:space="preserve">ia Legislativa do </w:t>
      </w:r>
      <w:r>
        <w:rPr>
          <w:color w:val="FF0000"/>
          <w:u w:val="dottedHeavy"/>
        </w:rPr>
        <w:t>ESTADO</w:t>
      </w:r>
      <w:r>
        <w:rPr>
          <w:color w:val="000000"/>
        </w:rPr>
        <w:t xml:space="preserve"> aprova e eu, Chefe do Poder Executivo, sanciono a seguinte lei:</w:t>
      </w:r>
    </w:p>
    <w:p w:rsidR="00683ECD" w:rsidRDefault="00683ECD" w:rsidP="00876E2D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O DISTRITO FEDERAL</w:t>
      </w:r>
      <w:r w:rsidRPr="00DE126E">
        <w:rPr>
          <w:color w:val="FF0000"/>
        </w:rPr>
        <w:t>)</w:t>
      </w:r>
      <w:r>
        <w:rPr>
          <w:color w:val="000000"/>
        </w:rPr>
        <w:t xml:space="preserve"> A Câmara Legislativa do Distrito Federal aprova e eu, Chefe do Poder Executivo, sanciono a seguinte lei:</w:t>
      </w:r>
    </w:p>
    <w:p w:rsidR="004F54CA" w:rsidRDefault="004F54CA" w:rsidP="00876E2D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MUNICÍPIO</w:t>
      </w:r>
      <w:r w:rsidRPr="00DE126E">
        <w:rPr>
          <w:color w:val="FF0000"/>
        </w:rPr>
        <w:t>)</w:t>
      </w:r>
      <w:r>
        <w:rPr>
          <w:color w:val="FF0000"/>
        </w:rPr>
        <w:t xml:space="preserve"> </w:t>
      </w:r>
      <w:r w:rsidRPr="004F54CA">
        <w:t xml:space="preserve">A Câmara de Vereadores do </w:t>
      </w:r>
      <w:r w:rsidRPr="004F54CA">
        <w:rPr>
          <w:color w:val="FF0000"/>
          <w:u w:val="dottedHeavy"/>
        </w:rPr>
        <w:t>MUNICÍPIO</w:t>
      </w:r>
      <w:r w:rsidRPr="004F54CA">
        <w:t xml:space="preserve"> aprova e eu, Chefe do Poder Executivo, sanciono a seguinte lei:</w:t>
      </w:r>
    </w:p>
    <w:p w:rsidR="00BB36B6" w:rsidRDefault="00BB36B6" w:rsidP="00876E2D">
      <w:pPr>
        <w:ind w:left="4820" w:right="-1"/>
      </w:pPr>
    </w:p>
    <w:p w:rsidR="00BB36B6" w:rsidRDefault="00BB36B6" w:rsidP="00876E2D">
      <w:pPr>
        <w:ind w:right="-1"/>
      </w:pPr>
    </w:p>
    <w:p w:rsidR="00406FD8" w:rsidRPr="00420D1B" w:rsidRDefault="00406FD8" w:rsidP="00406FD8">
      <w:pPr>
        <w:ind w:right="-1"/>
        <w:rPr>
          <w:u w:val="dottedHeavy"/>
        </w:rPr>
      </w:pPr>
      <w:r w:rsidRPr="00420D1B">
        <w:rPr>
          <w:b/>
        </w:rPr>
        <w:t>Art. 1°</w:t>
      </w:r>
      <w:r>
        <w:rPr>
          <w:b/>
        </w:rPr>
        <w:t xml:space="preserve"> </w:t>
      </w:r>
      <w:r w:rsidRPr="00420D1B">
        <w:t xml:space="preserve"> Fica</w:t>
      </w:r>
      <w:r w:rsidR="009E3CA6">
        <w:t>m</w:t>
      </w:r>
      <w:r w:rsidRPr="00420D1B">
        <w:t xml:space="preserve"> o </w:t>
      </w:r>
      <w:r w:rsidRPr="003E52E6">
        <w:rPr>
          <w:color w:val="FF0000"/>
        </w:rPr>
        <w:t>Poder Executivo</w:t>
      </w:r>
      <w:r w:rsidR="009E3CA6">
        <w:rPr>
          <w:color w:val="FF0000"/>
        </w:rPr>
        <w:t xml:space="preserve"> e a Autarquia </w:t>
      </w:r>
      <w:r w:rsidR="009E3CA6">
        <w:rPr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E3CA6">
        <w:rPr>
          <w:color w:val="FF0000"/>
        </w:rPr>
        <w:instrText xml:space="preserve"> FORMTEXT </w:instrText>
      </w:r>
      <w:r w:rsidR="009E3CA6">
        <w:rPr>
          <w:color w:val="FF0000"/>
        </w:rPr>
      </w:r>
      <w:r w:rsidR="009E3CA6">
        <w:rPr>
          <w:color w:val="FF0000"/>
        </w:rPr>
        <w:fldChar w:fldCharType="separate"/>
      </w:r>
      <w:r w:rsidR="009E3CA6">
        <w:rPr>
          <w:noProof/>
          <w:color w:val="FF0000"/>
        </w:rPr>
        <w:t> </w:t>
      </w:r>
      <w:r w:rsidR="009E3CA6">
        <w:rPr>
          <w:noProof/>
          <w:color w:val="FF0000"/>
        </w:rPr>
        <w:t> </w:t>
      </w:r>
      <w:r w:rsidR="009E3CA6">
        <w:rPr>
          <w:noProof/>
          <w:color w:val="FF0000"/>
        </w:rPr>
        <w:t> </w:t>
      </w:r>
      <w:r w:rsidR="009E3CA6">
        <w:rPr>
          <w:noProof/>
          <w:color w:val="FF0000"/>
        </w:rPr>
        <w:t> </w:t>
      </w:r>
      <w:r w:rsidR="009E3CA6">
        <w:rPr>
          <w:noProof/>
          <w:color w:val="FF0000"/>
        </w:rPr>
        <w:t> </w:t>
      </w:r>
      <w:r w:rsidR="009E3CA6">
        <w:rPr>
          <w:color w:val="FF0000"/>
        </w:rPr>
        <w:fldChar w:fldCharType="end"/>
      </w:r>
      <w:bookmarkEnd w:id="0"/>
      <w:r w:rsidRPr="003E52E6">
        <w:rPr>
          <w:color w:val="FF0000"/>
        </w:rPr>
        <w:t xml:space="preserve"> </w:t>
      </w:r>
      <w:r w:rsidR="009E3CA6">
        <w:rPr>
          <w:color w:val="FF0000"/>
          <w:szCs w:val="24"/>
        </w:rPr>
        <w:t xml:space="preserve">/ Fundação </w:t>
      </w:r>
      <w:r w:rsidR="009E3CA6" w:rsidRPr="00FF4825">
        <w:rPr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9E3CA6" w:rsidRPr="00FF4825">
        <w:rPr>
          <w:color w:val="FF0000"/>
          <w:szCs w:val="24"/>
        </w:rPr>
        <w:instrText xml:space="preserve"> FORMTEXT </w:instrText>
      </w:r>
      <w:r w:rsidR="009E3CA6" w:rsidRPr="00FF4825">
        <w:rPr>
          <w:color w:val="FF0000"/>
          <w:szCs w:val="24"/>
        </w:rPr>
      </w:r>
      <w:r w:rsidR="009E3CA6" w:rsidRPr="00FF4825">
        <w:rPr>
          <w:color w:val="FF0000"/>
          <w:szCs w:val="24"/>
        </w:rPr>
        <w:fldChar w:fldCharType="separate"/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color w:val="FF0000"/>
          <w:szCs w:val="24"/>
        </w:rPr>
        <w:fldChar w:fldCharType="end"/>
      </w:r>
      <w:r w:rsidR="009E3CA6">
        <w:rPr>
          <w:color w:val="FF0000"/>
          <w:szCs w:val="24"/>
        </w:rPr>
        <w:t xml:space="preserve"> / Empresa Estatal Dependente </w:t>
      </w:r>
      <w:r w:rsidR="009E3CA6" w:rsidRPr="00FF4825">
        <w:rPr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9E3CA6" w:rsidRPr="00FF4825">
        <w:rPr>
          <w:color w:val="FF0000"/>
          <w:szCs w:val="24"/>
        </w:rPr>
        <w:instrText xml:space="preserve"> FORMTEXT </w:instrText>
      </w:r>
      <w:r w:rsidR="009E3CA6" w:rsidRPr="00FF4825">
        <w:rPr>
          <w:color w:val="FF0000"/>
          <w:szCs w:val="24"/>
        </w:rPr>
      </w:r>
      <w:r w:rsidR="009E3CA6" w:rsidRPr="00FF4825">
        <w:rPr>
          <w:color w:val="FF0000"/>
          <w:szCs w:val="24"/>
        </w:rPr>
        <w:fldChar w:fldCharType="separate"/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noProof/>
          <w:color w:val="FF0000"/>
          <w:szCs w:val="24"/>
        </w:rPr>
        <w:t> </w:t>
      </w:r>
      <w:r w:rsidR="009E3CA6" w:rsidRPr="00FF4825">
        <w:rPr>
          <w:color w:val="FF0000"/>
          <w:szCs w:val="24"/>
        </w:rPr>
        <w:fldChar w:fldCharType="end"/>
      </w:r>
      <w:r w:rsidR="009E3CA6">
        <w:rPr>
          <w:color w:val="FF0000"/>
          <w:szCs w:val="24"/>
        </w:rPr>
        <w:t xml:space="preserve"> </w:t>
      </w:r>
      <w:r w:rsidR="009E3CA6" w:rsidRPr="00FE4FA9">
        <w:rPr>
          <w:i/>
          <w:color w:val="FF0000"/>
          <w:szCs w:val="24"/>
        </w:rPr>
        <w:t>(selecionar caso(s) aplicável(</w:t>
      </w:r>
      <w:proofErr w:type="spellStart"/>
      <w:r w:rsidR="009E3CA6" w:rsidRPr="00FE4FA9">
        <w:rPr>
          <w:i/>
          <w:color w:val="FF0000"/>
          <w:szCs w:val="24"/>
        </w:rPr>
        <w:t>is</w:t>
      </w:r>
      <w:proofErr w:type="spellEnd"/>
      <w:r w:rsidR="009E3CA6" w:rsidRPr="00FE4FA9">
        <w:rPr>
          <w:i/>
          <w:color w:val="FF0000"/>
          <w:szCs w:val="24"/>
        </w:rPr>
        <w:t>))</w:t>
      </w:r>
      <w:r w:rsidR="009E3CA6">
        <w:rPr>
          <w:color w:val="FF0000"/>
          <w:szCs w:val="24"/>
        </w:rPr>
        <w:t xml:space="preserve"> </w:t>
      </w:r>
      <w:r w:rsidRPr="00420D1B">
        <w:t>autorizado</w:t>
      </w:r>
      <w:r w:rsidR="009E3CA6">
        <w:t>s</w:t>
      </w:r>
      <w:r w:rsidRPr="00420D1B">
        <w:t xml:space="preserve"> </w:t>
      </w:r>
      <w:r w:rsidR="004F54CA">
        <w:t>a repactuar</w:t>
      </w:r>
      <w:r w:rsidR="00005EF0">
        <w:t xml:space="preserve"> o valor </w:t>
      </w:r>
      <w:r w:rsidR="00D04C82" w:rsidRPr="003D1DE8">
        <w:rPr>
          <w:rFonts w:eastAsia="Times New Roman"/>
          <w:color w:val="FF0000"/>
          <w:szCs w:val="20"/>
          <w:lang w:eastAsia="pt-BR"/>
        </w:rPr>
        <w:t xml:space="preserve">de até R$ </w:t>
      </w:r>
      <w:r w:rsidR="00D04C82" w:rsidRPr="003D1DE8">
        <w:rPr>
          <w:rFonts w:eastAsia="Times New Roman"/>
          <w:color w:val="FF000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D04C82" w:rsidRPr="003D1DE8">
        <w:rPr>
          <w:rFonts w:eastAsia="Times New Roman"/>
          <w:color w:val="FF0000"/>
          <w:szCs w:val="20"/>
          <w:lang w:eastAsia="pt-BR"/>
        </w:rPr>
        <w:instrText xml:space="preserve"> FORMTEXT </w:instrText>
      </w:r>
      <w:r w:rsidR="00D04C82" w:rsidRPr="003D1DE8">
        <w:rPr>
          <w:rFonts w:eastAsia="Times New Roman"/>
          <w:color w:val="FF0000"/>
          <w:szCs w:val="20"/>
          <w:lang w:eastAsia="pt-BR"/>
        </w:rPr>
      </w:r>
      <w:r w:rsidR="00D04C82" w:rsidRPr="003D1DE8">
        <w:rPr>
          <w:rFonts w:eastAsia="Times New Roman"/>
          <w:color w:val="FF0000"/>
          <w:szCs w:val="20"/>
          <w:lang w:eastAsia="pt-BR"/>
        </w:rPr>
        <w:fldChar w:fldCharType="separate"/>
      </w:r>
      <w:r w:rsidR="00D04C82"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="00D04C82"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="00D04C82"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="00D04C82"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="00D04C82"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="00D04C82" w:rsidRPr="003D1DE8">
        <w:rPr>
          <w:rFonts w:eastAsia="Times New Roman"/>
          <w:color w:val="FF0000"/>
          <w:szCs w:val="20"/>
          <w:lang w:eastAsia="pt-BR"/>
        </w:rPr>
        <w:fldChar w:fldCharType="end"/>
      </w:r>
      <w:bookmarkEnd w:id="1"/>
      <w:r w:rsidR="00D04C82">
        <w:rPr>
          <w:rFonts w:eastAsia="Times New Roman"/>
          <w:color w:val="FF0000"/>
          <w:szCs w:val="20"/>
          <w:lang w:eastAsia="pt-BR"/>
        </w:rPr>
        <w:t xml:space="preserve"> </w:t>
      </w:r>
      <w:r w:rsidR="00D04C82" w:rsidRPr="007D19DA">
        <w:rPr>
          <w:rFonts w:eastAsia="Times New Roman"/>
          <w:i/>
          <w:color w:val="FF0000"/>
          <w:szCs w:val="20"/>
          <w:lang w:eastAsia="pt-BR"/>
        </w:rPr>
        <w:t>(</w:t>
      </w:r>
      <w:r w:rsidR="00D04C82">
        <w:rPr>
          <w:rFonts w:eastAsia="Times New Roman"/>
          <w:i/>
          <w:color w:val="FF0000"/>
          <w:szCs w:val="20"/>
          <w:lang w:eastAsia="pt-BR"/>
        </w:rPr>
        <w:t xml:space="preserve">Agente Operador do FGTS deve </w:t>
      </w:r>
      <w:r w:rsidR="00D04C82" w:rsidRPr="00BD779F">
        <w:rPr>
          <w:i/>
          <w:color w:val="FF0000"/>
          <w:szCs w:val="24"/>
        </w:rPr>
        <w:t>projetar um valor futuro, a fim de conceder um espaço de tempo necessário à análise; de preferência, utilizar saldo projetado até o final do exercício</w:t>
      </w:r>
      <w:r w:rsidR="00D04C82">
        <w:rPr>
          <w:i/>
          <w:color w:val="FF0000"/>
          <w:szCs w:val="24"/>
        </w:rPr>
        <w:t>)</w:t>
      </w:r>
      <w:r w:rsidR="00D04C82">
        <w:rPr>
          <w:i/>
          <w:color w:val="FF0000"/>
          <w:szCs w:val="24"/>
        </w:rPr>
        <w:t xml:space="preserve">, </w:t>
      </w:r>
      <w:bookmarkStart w:id="2" w:name="_GoBack"/>
      <w:bookmarkEnd w:id="2"/>
      <w:r w:rsidR="004F54CA">
        <w:t>junto ao Agente Operador do Fundo de Garantia do Tempo de Serviço – FGTS,</w:t>
      </w:r>
      <w:r w:rsidR="00005EF0">
        <w:t xml:space="preserve"> com garantia da União</w:t>
      </w:r>
      <w:r w:rsidR="004F54CA">
        <w:t xml:space="preserve"> </w:t>
      </w:r>
      <w:r w:rsidR="0055264C">
        <w:t xml:space="preserve">as </w:t>
      </w:r>
      <w:r w:rsidR="004F54CA">
        <w:t>dívidas decorrentes de financiamentos obtidos com recursos do citado Fundo, derivadas de operações contratadas até 1º de junho de 2001, nos termos d</w:t>
      </w:r>
      <w:r w:rsidR="004F54CA" w:rsidRPr="00420D1B">
        <w:t xml:space="preserve">o artigo </w:t>
      </w:r>
      <w:r w:rsidR="004F54CA">
        <w:t>13</w:t>
      </w:r>
      <w:r w:rsidR="004F54CA" w:rsidRPr="00420D1B">
        <w:t xml:space="preserve"> da Lei Complementar nº 156, de 28</w:t>
      </w:r>
      <w:r w:rsidR="009E3CA6">
        <w:t xml:space="preserve"> de dezembro de </w:t>
      </w:r>
      <w:r w:rsidR="004F54CA" w:rsidRPr="00420D1B">
        <w:t>2016</w:t>
      </w:r>
      <w:r w:rsidRPr="009D4449">
        <w:t>.</w:t>
      </w:r>
      <w:r>
        <w:t xml:space="preserve"> </w:t>
      </w:r>
    </w:p>
    <w:p w:rsidR="00406FD8" w:rsidRDefault="00406FD8" w:rsidP="00406FD8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4F54CA" w:rsidRPr="00D176C6" w:rsidRDefault="004F54CA" w:rsidP="004F54CA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  <w:r w:rsidRPr="00D176C6">
        <w:rPr>
          <w:b/>
          <w:bCs/>
          <w:i/>
          <w:color w:val="FF0000"/>
          <w:szCs w:val="24"/>
        </w:rPr>
        <w:t>Indicação das contragarantias oferecidas</w:t>
      </w:r>
    </w:p>
    <w:p w:rsidR="004F54CA" w:rsidRPr="00D176C6" w:rsidRDefault="004F54CA" w:rsidP="004F54CA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</w:p>
    <w:p w:rsidR="004F54CA" w:rsidRPr="00D176C6" w:rsidRDefault="004F54CA" w:rsidP="004F54CA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D176C6">
        <w:rPr>
          <w:i/>
          <w:color w:val="FF0000"/>
          <w:szCs w:val="24"/>
        </w:rPr>
        <w:t>As contragarantias deverão ser vinculadas em lei e deverão ser suficientes para cobrir a amortização e demais encargos da operação. A critério do Ministério da Fazenda, serão admitidas como contragarantias à garantia da União em operação de crédito:</w:t>
      </w:r>
    </w:p>
    <w:p w:rsidR="004F54CA" w:rsidRPr="00CB2247" w:rsidRDefault="004F54CA" w:rsidP="004F54CA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4F54CA" w:rsidRDefault="004F54CA" w:rsidP="004F54CA">
      <w:pPr>
        <w:spacing w:after="120"/>
        <w:ind w:right="-1"/>
        <w:rPr>
          <w:rFonts w:eastAsia="Times New Roman"/>
          <w:szCs w:val="20"/>
          <w:lang w:eastAsia="pt-BR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</w:t>
      </w:r>
      <w:proofErr w:type="gramStart"/>
      <w:r w:rsidRPr="00CB2247">
        <w:rPr>
          <w:rFonts w:eastAsia="Times New Roman"/>
          <w:b/>
          <w:color w:val="000000"/>
          <w:szCs w:val="20"/>
          <w:lang w:eastAsia="pt-BR"/>
        </w:rPr>
        <w:t>º</w:t>
      </w:r>
      <w:r w:rsidR="003B592C">
        <w:rPr>
          <w:rFonts w:eastAsia="Times New Roman"/>
          <w:b/>
          <w:color w:val="000000"/>
          <w:szCs w:val="20"/>
          <w:lang w:eastAsia="pt-BR"/>
        </w:rPr>
        <w:t xml:space="preserve"> </w:t>
      </w:r>
      <w:r w:rsidRPr="00CB2247">
        <w:rPr>
          <w:rFonts w:eastAsia="Times New Roman"/>
          <w:color w:val="000000"/>
          <w:szCs w:val="20"/>
          <w:lang w:eastAsia="pt-BR"/>
        </w:rPr>
        <w:t xml:space="preserve"> </w:t>
      </w:r>
      <w:r w:rsidRPr="00BD6608">
        <w:rPr>
          <w:rFonts w:eastAsia="Times New Roman"/>
          <w:szCs w:val="20"/>
          <w:lang w:eastAsia="pt-BR"/>
        </w:rPr>
        <w:t>Fica</w:t>
      </w:r>
      <w:proofErr w:type="gramEnd"/>
      <w:r w:rsidRPr="00BD6608">
        <w:rPr>
          <w:rFonts w:eastAsia="Times New Roman"/>
          <w:szCs w:val="20"/>
          <w:lang w:eastAsia="pt-BR"/>
        </w:rPr>
        <w:t xml:space="preserve"> o Poder Executivo autorizado a vincular, como contragarantia à garantia da União, </w:t>
      </w:r>
      <w:r w:rsidR="003B592C">
        <w:rPr>
          <w:rFonts w:eastAsia="Times New Roman"/>
          <w:szCs w:val="20"/>
          <w:lang w:eastAsia="pt-BR"/>
        </w:rPr>
        <w:t>à repactuação</w:t>
      </w:r>
      <w:r w:rsidRPr="00BD6608">
        <w:rPr>
          <w:rFonts w:eastAsia="Times New Roman"/>
          <w:szCs w:val="20"/>
          <w:lang w:eastAsia="pt-BR"/>
        </w:rPr>
        <w:t xml:space="preserve"> de que trata </w:t>
      </w:r>
      <w:r w:rsidR="00EF26B9">
        <w:rPr>
          <w:rFonts w:eastAsia="Times New Roman"/>
          <w:szCs w:val="20"/>
          <w:lang w:eastAsia="pt-BR"/>
        </w:rPr>
        <w:t>o artigo 1º</w:t>
      </w:r>
      <w:r w:rsidRPr="00BD6608">
        <w:rPr>
          <w:rFonts w:eastAsia="Times New Roman"/>
          <w:szCs w:val="20"/>
          <w:lang w:eastAsia="pt-BR"/>
        </w:rPr>
        <w:t>, em caráter irrevogável e irretratável, a modo “</w:t>
      </w:r>
      <w:r w:rsidRPr="0012125E">
        <w:rPr>
          <w:rFonts w:eastAsia="Times New Roman"/>
          <w:i/>
          <w:szCs w:val="20"/>
          <w:lang w:eastAsia="pt-BR"/>
        </w:rPr>
        <w:t>pro solvendo</w:t>
      </w:r>
      <w:r w:rsidRPr="00BD6608">
        <w:rPr>
          <w:rFonts w:eastAsia="Times New Roman"/>
          <w:szCs w:val="20"/>
          <w:lang w:eastAsia="pt-BR"/>
        </w:rPr>
        <w:t>”, as receitas a que se referem os artigos 157 e 159, inciso I, alínea “a”, e inciso II, complementadas pelas receitas tributárias estabelecidas no artigo 155, nos termos do § 4º do art</w:t>
      </w:r>
      <w:r w:rsidR="003B592C">
        <w:rPr>
          <w:rFonts w:eastAsia="Times New Roman"/>
          <w:szCs w:val="20"/>
          <w:lang w:eastAsia="pt-BR"/>
        </w:rPr>
        <w:t>igo</w:t>
      </w:r>
      <w:r w:rsidRPr="00BD6608">
        <w:rPr>
          <w:rFonts w:eastAsia="Times New Roman"/>
          <w:szCs w:val="20"/>
          <w:lang w:eastAsia="pt-BR"/>
        </w:rPr>
        <w:t xml:space="preserve"> 167, todos da Constituição Federal, bem como outras garantias admitidas em direito.</w:t>
      </w:r>
    </w:p>
    <w:p w:rsidR="003B592C" w:rsidRPr="00644CC8" w:rsidRDefault="003B592C" w:rsidP="003B592C">
      <w:pPr>
        <w:spacing w:after="120"/>
        <w:ind w:right="-1"/>
      </w:pPr>
      <w:r w:rsidRPr="00091FB5">
        <w:rPr>
          <w:color w:val="FF0000"/>
        </w:rPr>
        <w:t xml:space="preserve">(PARA O DISTRITO FEDERAL) </w:t>
      </w:r>
      <w:r w:rsidRPr="00091FB5">
        <w:rPr>
          <w:b/>
        </w:rPr>
        <w:t>Art. 2º</w:t>
      </w:r>
      <w:r w:rsidRPr="00091FB5">
        <w:t xml:space="preserve">  Fica o Poder Executivo autorizado a vincular, como contragarantia à garantia da União, à </w:t>
      </w:r>
      <w:r>
        <w:t>repactuação</w:t>
      </w:r>
      <w:r w:rsidRPr="00091FB5">
        <w:t xml:space="preserve"> de que trata </w:t>
      </w:r>
      <w:r w:rsidR="00EF26B9">
        <w:rPr>
          <w:rFonts w:eastAsia="Times New Roman"/>
          <w:szCs w:val="20"/>
          <w:lang w:eastAsia="pt-BR"/>
        </w:rPr>
        <w:t>o artigo 1º</w:t>
      </w:r>
      <w:r w:rsidRPr="00091FB5">
        <w:t>, em caráter irrevogável e irretratável, a modo “</w:t>
      </w:r>
      <w:r w:rsidRPr="0012125E">
        <w:rPr>
          <w:i/>
        </w:rPr>
        <w:t>pro solvendo</w:t>
      </w:r>
      <w:r w:rsidRPr="00091FB5">
        <w:t>”, as cotas de repartição das receitas tributárias, previstas nos artigos 157, 158 e 159, complementadas pelas receitas próprias de impostos esta</w:t>
      </w:r>
      <w:r w:rsidR="00BE437B">
        <w:t xml:space="preserve">belecidas nos artigos 155 e 156, </w:t>
      </w:r>
      <w:r w:rsidRPr="00091FB5">
        <w:t xml:space="preserve">nos termos do § 4º do artigo 167, </w:t>
      </w:r>
      <w:r w:rsidR="00BE437B">
        <w:t xml:space="preserve">todos da </w:t>
      </w:r>
      <w:r w:rsidR="00BE437B" w:rsidRPr="00091FB5">
        <w:t xml:space="preserve">Constituição Federal, </w:t>
      </w:r>
      <w:r w:rsidRPr="00091FB5">
        <w:t>bem como outras garantias em direito admitidas.</w:t>
      </w:r>
    </w:p>
    <w:p w:rsidR="003B592C" w:rsidRPr="00BE437B" w:rsidRDefault="004F54CA" w:rsidP="00BE437B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MUNICÍPIO</w:t>
      </w:r>
      <w:r w:rsidRPr="00DE126E">
        <w:rPr>
          <w:color w:val="FF0000"/>
        </w:rPr>
        <w:t>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 </w:t>
      </w:r>
      <w:r w:rsidRPr="00BD6608">
        <w:rPr>
          <w:rFonts w:eastAsia="Times New Roman"/>
          <w:szCs w:val="20"/>
          <w:lang w:eastAsia="pt-BR"/>
        </w:rPr>
        <w:t xml:space="preserve">Fica o Poder Executivo autorizado a vincular, como contragarantia </w:t>
      </w:r>
      <w:r w:rsidR="003B592C">
        <w:rPr>
          <w:rFonts w:eastAsia="Times New Roman"/>
          <w:szCs w:val="20"/>
          <w:lang w:eastAsia="pt-BR"/>
        </w:rPr>
        <w:t>à garantia da União, à repactuação</w:t>
      </w:r>
      <w:r w:rsidRPr="00BD6608">
        <w:rPr>
          <w:rFonts w:eastAsia="Times New Roman"/>
          <w:szCs w:val="20"/>
          <w:lang w:eastAsia="pt-BR"/>
        </w:rPr>
        <w:t xml:space="preserve"> de que trata </w:t>
      </w:r>
      <w:r w:rsidR="00EF26B9">
        <w:rPr>
          <w:rFonts w:eastAsia="Times New Roman"/>
          <w:szCs w:val="20"/>
          <w:lang w:eastAsia="pt-BR"/>
        </w:rPr>
        <w:t>o artigo 1º</w:t>
      </w:r>
      <w:r w:rsidRPr="00BD6608">
        <w:rPr>
          <w:rFonts w:eastAsia="Times New Roman"/>
          <w:szCs w:val="20"/>
          <w:lang w:eastAsia="pt-BR"/>
        </w:rPr>
        <w:t xml:space="preserve">, em caráter irrevogável e irretratável, a modo </w:t>
      </w:r>
      <w:r w:rsidRPr="009E3CA6">
        <w:rPr>
          <w:rFonts w:eastAsia="Times New Roman"/>
          <w:i/>
          <w:szCs w:val="20"/>
          <w:lang w:eastAsia="pt-BR"/>
        </w:rPr>
        <w:lastRenderedPageBreak/>
        <w:t>“pro solvendo”</w:t>
      </w:r>
      <w:r w:rsidRPr="00BD6608">
        <w:rPr>
          <w:rFonts w:eastAsia="Times New Roman"/>
          <w:szCs w:val="20"/>
          <w:lang w:eastAsia="pt-BR"/>
        </w:rPr>
        <w:t>, as receitas a que se referem os artigos 15</w:t>
      </w:r>
      <w:r>
        <w:rPr>
          <w:rFonts w:eastAsia="Times New Roman"/>
          <w:szCs w:val="20"/>
          <w:lang w:eastAsia="pt-BR"/>
        </w:rPr>
        <w:t>8</w:t>
      </w:r>
      <w:r w:rsidRPr="00BD6608">
        <w:rPr>
          <w:rFonts w:eastAsia="Times New Roman"/>
          <w:szCs w:val="20"/>
          <w:lang w:eastAsia="pt-BR"/>
        </w:rPr>
        <w:t xml:space="preserve"> e 159, inciso I, alínea “</w:t>
      </w:r>
      <w:r>
        <w:rPr>
          <w:rFonts w:eastAsia="Times New Roman"/>
          <w:szCs w:val="20"/>
          <w:lang w:eastAsia="pt-BR"/>
        </w:rPr>
        <w:t>b”</w:t>
      </w:r>
      <w:r w:rsidRPr="00BD6608">
        <w:rPr>
          <w:rFonts w:eastAsia="Times New Roman"/>
          <w:szCs w:val="20"/>
          <w:lang w:eastAsia="pt-BR"/>
        </w:rPr>
        <w:t>, complementadas pelas receitas tributárias estabelecidas no artigo 156, nos termos do § 4º do art</w:t>
      </w:r>
      <w:r w:rsidR="003B592C">
        <w:rPr>
          <w:rFonts w:eastAsia="Times New Roman"/>
          <w:szCs w:val="20"/>
          <w:lang w:eastAsia="pt-BR"/>
        </w:rPr>
        <w:t>igo</w:t>
      </w:r>
      <w:r w:rsidRPr="00BD6608">
        <w:rPr>
          <w:rFonts w:eastAsia="Times New Roman"/>
          <w:szCs w:val="20"/>
          <w:lang w:eastAsia="pt-BR"/>
        </w:rPr>
        <w:t xml:space="preserve"> 167, todos da Constituição Federal, bem como outras garantias admitidas em direito.</w:t>
      </w:r>
    </w:p>
    <w:p w:rsidR="003B592C" w:rsidRDefault="003B592C" w:rsidP="00406FD8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F07149" w:rsidRPr="00F07149" w:rsidRDefault="00406FD8" w:rsidP="00406FD8">
      <w:pPr>
        <w:ind w:right="-1"/>
        <w:rPr>
          <w:color w:val="000000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 xml:space="preserve">Art. </w:t>
      </w:r>
      <w:r w:rsidR="00BE437B">
        <w:rPr>
          <w:rFonts w:eastAsia="Times New Roman"/>
          <w:b/>
          <w:color w:val="000000"/>
          <w:szCs w:val="20"/>
          <w:lang w:eastAsia="pt-BR"/>
        </w:rPr>
        <w:t>3</w:t>
      </w:r>
      <w:proofErr w:type="gramStart"/>
      <w:r>
        <w:rPr>
          <w:rFonts w:eastAsia="Times New Roman"/>
          <w:b/>
          <w:color w:val="000000"/>
          <w:szCs w:val="20"/>
          <w:lang w:eastAsia="pt-BR"/>
        </w:rPr>
        <w:t xml:space="preserve">º  </w:t>
      </w:r>
      <w:r w:rsidRPr="00DE126E">
        <w:rPr>
          <w:color w:val="000000"/>
        </w:rPr>
        <w:t>Esta</w:t>
      </w:r>
      <w:proofErr w:type="gramEnd"/>
      <w:r w:rsidRPr="00DE126E">
        <w:rPr>
          <w:color w:val="000000"/>
        </w:rPr>
        <w:t xml:space="preserve"> Lei entra em vigor na data de sua publicação.</w:t>
      </w:r>
    </w:p>
    <w:p w:rsidR="00BB36B6" w:rsidRDefault="00BB36B6" w:rsidP="00876E2D">
      <w:pPr>
        <w:ind w:right="-1"/>
      </w:pPr>
    </w:p>
    <w:p w:rsidR="00DE126E" w:rsidRDefault="00DE126E" w:rsidP="00876E2D">
      <w:pPr>
        <w:ind w:right="-1"/>
      </w:pPr>
    </w:p>
    <w:p w:rsidR="004F54CA" w:rsidRDefault="004F54CA" w:rsidP="004F54CA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ESTADO/DISTRITO FEDERAL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4F54CA" w:rsidRDefault="004F54CA" w:rsidP="004F54CA">
      <w:pPr>
        <w:ind w:right="-1" w:firstLine="708"/>
        <w:rPr>
          <w:color w:val="000000"/>
        </w:rPr>
      </w:pPr>
      <w:r>
        <w:rPr>
          <w:color w:val="000000"/>
        </w:rPr>
        <w:t xml:space="preserve">Gabinete do Prefeito Municipal de </w:t>
      </w:r>
      <w:r w:rsidRPr="00EB1D46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EB1D46">
        <w:rPr>
          <w:color w:val="FF0000"/>
          <w:u w:val="dottedHeavy"/>
        </w:rPr>
        <w:t>ESTADO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4F54CA" w:rsidRDefault="004F54CA" w:rsidP="004F54CA">
      <w:pPr>
        <w:ind w:right="-1" w:firstLine="708"/>
        <w:rPr>
          <w:color w:val="000000"/>
        </w:rPr>
      </w:pPr>
    </w:p>
    <w:p w:rsidR="004F54CA" w:rsidRDefault="004F54CA" w:rsidP="004F54CA">
      <w:pPr>
        <w:ind w:right="-1" w:firstLine="708"/>
        <w:rPr>
          <w:color w:val="000000"/>
        </w:rPr>
      </w:pPr>
    </w:p>
    <w:p w:rsidR="004F54CA" w:rsidRPr="00AB0F16" w:rsidRDefault="004F54CA" w:rsidP="004F54CA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83462C" w:rsidRPr="003E1467" w:rsidRDefault="004F54CA" w:rsidP="003E1467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(</w:t>
      </w:r>
      <w:proofErr w:type="gramStart"/>
      <w:r w:rsidRPr="00AB0F16">
        <w:rPr>
          <w:color w:val="FF0000"/>
          <w:u w:val="dottedHeavy"/>
        </w:rPr>
        <w:t>nome</w:t>
      </w:r>
      <w:proofErr w:type="gramEnd"/>
      <w:r w:rsidRPr="00AB0F16">
        <w:rPr>
          <w:color w:val="FF0000"/>
          <w:u w:val="dottedHeavy"/>
        </w:rPr>
        <w:t xml:space="preserve"> e cargo)</w:t>
      </w:r>
    </w:p>
    <w:sectPr w:rsidR="0083462C" w:rsidRPr="003E1467" w:rsidSect="008802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A6D"/>
    <w:multiLevelType w:val="hybridMultilevel"/>
    <w:tmpl w:val="4600C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D0253A6"/>
    <w:multiLevelType w:val="hybridMultilevel"/>
    <w:tmpl w:val="84EE3504"/>
    <w:lvl w:ilvl="0" w:tplc="567408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66E7"/>
    <w:multiLevelType w:val="hybridMultilevel"/>
    <w:tmpl w:val="065C3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6"/>
    <w:rsid w:val="00005C5C"/>
    <w:rsid w:val="00005EF0"/>
    <w:rsid w:val="00007C38"/>
    <w:rsid w:val="000273B8"/>
    <w:rsid w:val="00044694"/>
    <w:rsid w:val="00056D61"/>
    <w:rsid w:val="00077ED6"/>
    <w:rsid w:val="0008200F"/>
    <w:rsid w:val="00091FB5"/>
    <w:rsid w:val="000A6207"/>
    <w:rsid w:val="000B1EAA"/>
    <w:rsid w:val="000F5B2B"/>
    <w:rsid w:val="0011017B"/>
    <w:rsid w:val="0012125E"/>
    <w:rsid w:val="001259EF"/>
    <w:rsid w:val="00134311"/>
    <w:rsid w:val="00145749"/>
    <w:rsid w:val="00192B19"/>
    <w:rsid w:val="0019764A"/>
    <w:rsid w:val="001A452C"/>
    <w:rsid w:val="001D4934"/>
    <w:rsid w:val="001D58C9"/>
    <w:rsid w:val="001D60D2"/>
    <w:rsid w:val="001F2ECE"/>
    <w:rsid w:val="0022254B"/>
    <w:rsid w:val="00224412"/>
    <w:rsid w:val="00286864"/>
    <w:rsid w:val="0029075E"/>
    <w:rsid w:val="002C2D98"/>
    <w:rsid w:val="00304FC1"/>
    <w:rsid w:val="00366A28"/>
    <w:rsid w:val="00371662"/>
    <w:rsid w:val="00396C45"/>
    <w:rsid w:val="003A34CB"/>
    <w:rsid w:val="003A601C"/>
    <w:rsid w:val="003B592C"/>
    <w:rsid w:val="003E1467"/>
    <w:rsid w:val="003E52E6"/>
    <w:rsid w:val="004027FF"/>
    <w:rsid w:val="00406FD8"/>
    <w:rsid w:val="004330D1"/>
    <w:rsid w:val="00435574"/>
    <w:rsid w:val="0044569E"/>
    <w:rsid w:val="00485148"/>
    <w:rsid w:val="004C2985"/>
    <w:rsid w:val="004C6934"/>
    <w:rsid w:val="004F54CA"/>
    <w:rsid w:val="004F5886"/>
    <w:rsid w:val="0050182A"/>
    <w:rsid w:val="0055264C"/>
    <w:rsid w:val="00560105"/>
    <w:rsid w:val="005630E0"/>
    <w:rsid w:val="00576325"/>
    <w:rsid w:val="00582D16"/>
    <w:rsid w:val="00583612"/>
    <w:rsid w:val="005B584E"/>
    <w:rsid w:val="005D1A66"/>
    <w:rsid w:val="005D2512"/>
    <w:rsid w:val="006258D7"/>
    <w:rsid w:val="00644CC8"/>
    <w:rsid w:val="00646ACC"/>
    <w:rsid w:val="006549E0"/>
    <w:rsid w:val="00657AF7"/>
    <w:rsid w:val="006704AA"/>
    <w:rsid w:val="00683ECD"/>
    <w:rsid w:val="006C78DE"/>
    <w:rsid w:val="006D6117"/>
    <w:rsid w:val="006E1E9C"/>
    <w:rsid w:val="007031A9"/>
    <w:rsid w:val="00714151"/>
    <w:rsid w:val="00724F98"/>
    <w:rsid w:val="00775B42"/>
    <w:rsid w:val="00785A96"/>
    <w:rsid w:val="007C0E8A"/>
    <w:rsid w:val="007C5D0B"/>
    <w:rsid w:val="007D75E4"/>
    <w:rsid w:val="007D7CB9"/>
    <w:rsid w:val="00806F1E"/>
    <w:rsid w:val="008241B5"/>
    <w:rsid w:val="0083424F"/>
    <w:rsid w:val="0083462C"/>
    <w:rsid w:val="00876E2D"/>
    <w:rsid w:val="0088026F"/>
    <w:rsid w:val="008C757E"/>
    <w:rsid w:val="00904140"/>
    <w:rsid w:val="009260B1"/>
    <w:rsid w:val="00940B98"/>
    <w:rsid w:val="00977F1E"/>
    <w:rsid w:val="009951D1"/>
    <w:rsid w:val="009A5F01"/>
    <w:rsid w:val="009A6824"/>
    <w:rsid w:val="009C21FF"/>
    <w:rsid w:val="009C4100"/>
    <w:rsid w:val="009C45B8"/>
    <w:rsid w:val="009D643D"/>
    <w:rsid w:val="009E3CA6"/>
    <w:rsid w:val="009F0846"/>
    <w:rsid w:val="00A03EB7"/>
    <w:rsid w:val="00A53D2C"/>
    <w:rsid w:val="00AA2C2C"/>
    <w:rsid w:val="00AB0F16"/>
    <w:rsid w:val="00AF046D"/>
    <w:rsid w:val="00B526F7"/>
    <w:rsid w:val="00B6519C"/>
    <w:rsid w:val="00B90570"/>
    <w:rsid w:val="00BB36B6"/>
    <w:rsid w:val="00BD6608"/>
    <w:rsid w:val="00BE437B"/>
    <w:rsid w:val="00C52C9A"/>
    <w:rsid w:val="00C72184"/>
    <w:rsid w:val="00C765D5"/>
    <w:rsid w:val="00C80EA3"/>
    <w:rsid w:val="00C97D87"/>
    <w:rsid w:val="00CB2048"/>
    <w:rsid w:val="00D04C82"/>
    <w:rsid w:val="00D176C6"/>
    <w:rsid w:val="00D22860"/>
    <w:rsid w:val="00D25B7A"/>
    <w:rsid w:val="00D43F08"/>
    <w:rsid w:val="00D831FE"/>
    <w:rsid w:val="00DA3242"/>
    <w:rsid w:val="00DE126E"/>
    <w:rsid w:val="00E46A2F"/>
    <w:rsid w:val="00E56B88"/>
    <w:rsid w:val="00E969D9"/>
    <w:rsid w:val="00EA1B82"/>
    <w:rsid w:val="00EB7EDE"/>
    <w:rsid w:val="00EC296F"/>
    <w:rsid w:val="00ED519B"/>
    <w:rsid w:val="00EF26B9"/>
    <w:rsid w:val="00EF2827"/>
    <w:rsid w:val="00F07149"/>
    <w:rsid w:val="00F136BA"/>
    <w:rsid w:val="00F145A2"/>
    <w:rsid w:val="00F52B8E"/>
    <w:rsid w:val="00F550E4"/>
    <w:rsid w:val="00F70C5A"/>
    <w:rsid w:val="00FD6340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AD86-B9A6-4C13-9A00-E100288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E0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1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Exemplo de lei autorizadora</vt:lpstr>
    </vt:vector>
  </TitlesOfParts>
  <Company>Secretaria do Tesouro Nacional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Exemplo de lei autorizadora</dc:title>
  <dc:subject/>
  <dc:creator>Secretaria do Tesouro Nacional</dc:creator>
  <cp:keywords/>
  <cp:lastModifiedBy>Helena Cristina Dill</cp:lastModifiedBy>
  <cp:revision>5</cp:revision>
  <cp:lastPrinted>2013-10-08T18:05:00Z</cp:lastPrinted>
  <dcterms:created xsi:type="dcterms:W3CDTF">2017-08-14T20:22:00Z</dcterms:created>
  <dcterms:modified xsi:type="dcterms:W3CDTF">2017-08-21T20:47:00Z</dcterms:modified>
</cp:coreProperties>
</file>